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90" w:rsidRDefault="00D2649F" w:rsidP="002F36EB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</w:rPr>
      </w:pPr>
      <w:r>
        <w:rPr>
          <w:rFonts w:ascii="Century Gothic" w:hAnsi="Century Gothic"/>
          <w:b/>
          <w:color w:val="4BACC6" w:themeColor="accent5"/>
          <w:sz w:val="28"/>
          <w:szCs w:val="28"/>
        </w:rPr>
        <w:t>Annexe :</w:t>
      </w:r>
      <w:r w:rsidR="002F36EB">
        <w:rPr>
          <w:rFonts w:ascii="Century Gothic" w:hAnsi="Century Gothic"/>
          <w:b/>
          <w:color w:val="4BACC6" w:themeColor="accent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4BACC6" w:themeColor="accent5"/>
          <w:sz w:val="28"/>
          <w:szCs w:val="28"/>
        </w:rPr>
        <w:t xml:space="preserve"> </w:t>
      </w:r>
      <w:r w:rsidR="00AC460A" w:rsidRPr="00EF23D6">
        <w:rPr>
          <w:rFonts w:ascii="Century Gothic" w:hAnsi="Century Gothic"/>
          <w:b/>
          <w:color w:val="4BACC6" w:themeColor="accent5"/>
          <w:sz w:val="28"/>
          <w:szCs w:val="28"/>
        </w:rPr>
        <w:t>Demande de Subside</w:t>
      </w:r>
      <w:r w:rsidR="002F36EB">
        <w:rPr>
          <w:rFonts w:ascii="Century Gothic" w:hAnsi="Century Gothic"/>
          <w:b/>
          <w:color w:val="4BACC6" w:themeColor="accent5"/>
          <w:sz w:val="28"/>
          <w:szCs w:val="28"/>
        </w:rPr>
        <w:t xml:space="preserve"> p</w:t>
      </w:r>
      <w:r w:rsidR="00FA7FBD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our de </w:t>
      </w:r>
      <w:r w:rsidR="00023F88" w:rsidRPr="00EF23D6">
        <w:rPr>
          <w:rFonts w:ascii="Century Gothic" w:hAnsi="Century Gothic"/>
          <w:b/>
          <w:color w:val="4BACC6" w:themeColor="accent5"/>
          <w:sz w:val="28"/>
          <w:szCs w:val="28"/>
        </w:rPr>
        <w:t>p</w:t>
      </w:r>
      <w:r w:rsidR="00FA7FBD" w:rsidRPr="00EF23D6">
        <w:rPr>
          <w:rFonts w:ascii="Century Gothic" w:hAnsi="Century Gothic"/>
          <w:b/>
          <w:color w:val="4BACC6" w:themeColor="accent5"/>
          <w:sz w:val="28"/>
          <w:szCs w:val="28"/>
        </w:rPr>
        <w:t>etites I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>nitiative</w:t>
      </w:r>
      <w:r w:rsidR="00FA7FBD" w:rsidRPr="00EF23D6">
        <w:rPr>
          <w:rFonts w:ascii="Century Gothic" w:hAnsi="Century Gothic"/>
          <w:b/>
          <w:color w:val="4BACC6" w:themeColor="accent5"/>
          <w:sz w:val="28"/>
          <w:szCs w:val="28"/>
        </w:rPr>
        <w:t>s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 </w:t>
      </w:r>
      <w:r w:rsidR="00FA7FBD" w:rsidRPr="00EF23D6">
        <w:rPr>
          <w:rFonts w:ascii="Century Gothic" w:hAnsi="Century Gothic"/>
          <w:b/>
          <w:color w:val="4BACC6" w:themeColor="accent5"/>
          <w:sz w:val="28"/>
          <w:szCs w:val="28"/>
        </w:rPr>
        <w:t>de Développement D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urable </w:t>
      </w:r>
      <w:r w:rsidR="002F36EB">
        <w:rPr>
          <w:rFonts w:ascii="Century Gothic" w:hAnsi="Century Gothic"/>
          <w:b/>
          <w:color w:val="4BACC6" w:themeColor="accent5"/>
          <w:sz w:val="28"/>
          <w:szCs w:val="28"/>
        </w:rPr>
        <w:t>à</w:t>
      </w:r>
      <w:r w:rsidR="00741518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 W</w:t>
      </w:r>
      <w:r w:rsidR="00AC460A" w:rsidRPr="00EF23D6">
        <w:rPr>
          <w:rFonts w:ascii="Century Gothic" w:hAnsi="Century Gothic"/>
          <w:b/>
          <w:color w:val="4BACC6" w:themeColor="accent5"/>
          <w:sz w:val="28"/>
          <w:szCs w:val="28"/>
        </w:rPr>
        <w:t>oluwe-Saint-Pierre</w:t>
      </w:r>
    </w:p>
    <w:p w:rsidR="00D2649F" w:rsidRDefault="00D2649F" w:rsidP="00023F88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</w:rPr>
      </w:pPr>
      <w:bookmarkStart w:id="0" w:name="_GoBack"/>
      <w:bookmarkEnd w:id="0"/>
    </w:p>
    <w:p w:rsidR="002F36EB" w:rsidRPr="002F36EB" w:rsidRDefault="007147F1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hyperlink r:id="rId8" w:history="1">
        <w:r w:rsidR="002F36EB" w:rsidRPr="002F36EB">
          <w:rPr>
            <w:rFonts w:ascii="Century Gothic" w:hAnsi="Century Gothic"/>
            <w:b/>
            <w:bCs/>
            <w:color w:val="006797"/>
            <w:sz w:val="22"/>
            <w:szCs w:val="22"/>
            <w:lang w:val="fr-FR" w:eastAsia="fr-FR"/>
          </w:rPr>
          <w:t>Bénéficiaires :</w:t>
        </w:r>
      </w:hyperlink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L’appel est ouvert aux acteurs locaux suivants :</w:t>
      </w:r>
    </w:p>
    <w:p w:rsidR="002F36EB" w:rsidRPr="002F36EB" w:rsidRDefault="002F36EB" w:rsidP="002F36E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Les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Associations sans but lucratif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(ASBL) ;</w:t>
      </w:r>
    </w:p>
    <w:p w:rsidR="002F36EB" w:rsidRPr="002F36EB" w:rsidRDefault="002F36EB" w:rsidP="002F36E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Les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associations de fait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(tout groupe de plusieurs personnes qui s’associent pour poursuivre un but d’intérêt général).</w:t>
      </w:r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L’administration n’octroie des subsides qu’à des associations (pas à des personnes physiques). Sont également exclus de la liste des bénéficiaires : les services communaux et les Conseils consultatifs.</w:t>
      </w:r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Si vous n’êtes pas constitué en association et que vous désirez introduire une demande de subside, il est dès lors nécessaire :</w:t>
      </w:r>
    </w:p>
    <w:p w:rsidR="002F36EB" w:rsidRPr="002F36EB" w:rsidRDefault="002F36EB" w:rsidP="002F36E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Soit de vous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 xml:space="preserve"> constituer en association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de fait pour votre projet. Il vous faut dès lors créer un compte d’association pour recevoir le subside, à 2 signataires minimum, et joindre à ce formulaire, un document de la banque prouvant qu’il s’agit d’un compte d’association.</w:t>
      </w:r>
    </w:p>
    <w:p w:rsidR="002F36EB" w:rsidRPr="002F36EB" w:rsidRDefault="002F36EB" w:rsidP="002F36E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Soit, votre demande peut se faire en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partenariat avec une association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existante et active sur le territoire communal. Un certain nombre d’associations locales font d’ores et déjà régulièrement une demande de subside communal et sont donc familiarisées à ces démarches. En pratique, c’est alors l’association qui percevra le subside sur base des copies des pièces justificatives que vous nous aurez fait parvenir et ils pourront vous rembourser.</w:t>
      </w:r>
    </w:p>
    <w:p w:rsidR="002F36EB" w:rsidRPr="002F36EB" w:rsidRDefault="007147F1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hyperlink r:id="rId9" w:history="1">
        <w:r w:rsidR="002F36EB" w:rsidRPr="002F36EB">
          <w:rPr>
            <w:rFonts w:ascii="Century Gothic" w:hAnsi="Century Gothic"/>
            <w:b/>
            <w:bCs/>
            <w:color w:val="006797"/>
            <w:sz w:val="22"/>
            <w:szCs w:val="22"/>
            <w:lang w:val="fr-FR" w:eastAsia="fr-FR"/>
          </w:rPr>
          <w:t>Conditions :</w:t>
        </w:r>
      </w:hyperlink>
    </w:p>
    <w:p w:rsidR="002F36EB" w:rsidRPr="002F36EB" w:rsidRDefault="002F36EB" w:rsidP="002F36E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La demande de subside doit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précéder le démarrage de l’activité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pour laquelle le subside est sollicité (une demande pour des activités passées ou en cours ne sera pas prise en considération).</w:t>
      </w:r>
    </w:p>
    <w:p w:rsidR="002F36EB" w:rsidRPr="002F36EB" w:rsidRDefault="002F36EB" w:rsidP="002F36E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 projet doit être à portée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non marchande.</w:t>
      </w:r>
    </w:p>
    <w:p w:rsidR="002F36EB" w:rsidRPr="002F36EB" w:rsidRDefault="002F36EB" w:rsidP="002F36E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Les demandeurs s’engagent à prendre les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dispositions réglementaires et les assurances nécessaires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à la réalisation de leur projet et/ou activités qui s’exerceront sous leur entière responsabilité</w:t>
      </w:r>
    </w:p>
    <w:p w:rsidR="002F36EB" w:rsidRPr="002F36EB" w:rsidRDefault="002F36EB" w:rsidP="002F36E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Les demandeurs s’engagent à avoir autant que possible un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souci d’éco-man</w:t>
      </w:r>
      <w:r w:rsidR="00764E09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gement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à toutes les étapes du projet. Ils s’engagent ainsi à :</w:t>
      </w:r>
    </w:p>
    <w:p w:rsidR="002F36EB" w:rsidRPr="002F36EB" w:rsidRDefault="002F36EB" w:rsidP="002F36EB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Être proactif dans la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préservation de l’environnement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en veillant à la prévention des déchets et, le cas échéant, à leur valorisation ; à éviter les pollutions ; à une utilisation raisonnée des ressources naturelles ; à utiliser des consommables durables (ex : vaisselle réutilisable, papier recyclé/FSC, restauration durable, pas de goodies gadget, etc.) ;</w:t>
      </w:r>
    </w:p>
    <w:p w:rsidR="002F36EB" w:rsidRPr="002F36EB" w:rsidRDefault="002F36EB" w:rsidP="002F36EB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Stimuler une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économie éthique, locale et solidaire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via leurs achats de fournitures et de services subsidiés ;</w:t>
      </w:r>
    </w:p>
    <w:p w:rsidR="002F36EB" w:rsidRPr="002F36EB" w:rsidRDefault="002F36EB" w:rsidP="002F36EB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Favoriser une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cohésion sociale,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en assurant l'accessibilité à tous, l'égalité des chances, le respect du public et du voisinage tant au niveau de l’impact que de l'aspect participatif.</w:t>
      </w:r>
    </w:p>
    <w:p w:rsidR="002F36EB" w:rsidRPr="002F36EB" w:rsidRDefault="002F36EB" w:rsidP="002F36E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Afficher la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mention « avec le soutien de la Commune de Woluwe-Saint-Pierre</w:t>
      </w:r>
      <w:r w:rsidR="000F0EF7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 xml:space="preserve">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»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pour les activités/matériel financé(s) par l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e subside et apposer le logo du Développement 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lastRenderedPageBreak/>
        <w:t xml:space="preserve">Durable 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et de la commune sur les supports de communication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(en en-tête de ce document)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.</w:t>
      </w:r>
    </w:p>
    <w:p w:rsidR="002F36EB" w:rsidRPr="002F36EB" w:rsidRDefault="007147F1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hyperlink r:id="rId10" w:history="1">
        <w:r w:rsidR="002F36EB" w:rsidRPr="002F36EB">
          <w:rPr>
            <w:rFonts w:ascii="Century Gothic" w:hAnsi="Century Gothic"/>
            <w:b/>
            <w:bCs/>
            <w:color w:val="006797"/>
            <w:sz w:val="22"/>
            <w:szCs w:val="22"/>
            <w:lang w:val="fr-FR" w:eastAsia="fr-FR"/>
          </w:rPr>
          <w:t>Critères de sélection</w:t>
        </w:r>
        <w:r w:rsidR="002F36EB" w:rsidRPr="002F36EB">
          <w:rPr>
            <w:rFonts w:ascii="Century Gothic" w:hAnsi="Century Gothic"/>
            <w:color w:val="006797"/>
            <w:sz w:val="22"/>
            <w:szCs w:val="22"/>
            <w:lang w:val="fr-FR" w:eastAsia="fr-FR"/>
          </w:rPr>
          <w:t xml:space="preserve"> :</w:t>
        </w:r>
      </w:hyperlink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L’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attention portée aux divers aspects du développement durable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(environnement, social, économique) à toutes les étapes du projet.</w:t>
      </w:r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La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 xml:space="preserve">dimension collective et participative 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du projet pour les wolusanpétrusiens, en ce compris le nombre potentiel de bénéficiaires touchés et/ou de participants impliqués.</w:t>
      </w:r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potentiel de reproductibilité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du projet (la capacité du projet à être reproduit).</w:t>
      </w:r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L’élaboration d’un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calendrier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clair pour le déroulement du projet.</w:t>
      </w:r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L’élaboration du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budget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et l’éventuel financement partiel par des moyens propres.</w:t>
      </w:r>
    </w:p>
    <w:p w:rsidR="002F36EB" w:rsidRPr="002F36EB" w:rsidRDefault="002F36EB" w:rsidP="002F36E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La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communication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mise en œuvre vers le public ciblé.</w:t>
      </w:r>
    </w:p>
    <w:p w:rsid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b/>
          <w:bCs/>
          <w:color w:val="006797"/>
          <w:sz w:val="22"/>
          <w:szCs w:val="22"/>
          <w:lang w:val="fr-FR" w:eastAsia="fr-FR"/>
        </w:rPr>
      </w:pPr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r>
        <w:rPr>
          <w:rFonts w:ascii="Century Gothic" w:hAnsi="Century Gothic"/>
          <w:b/>
          <w:bCs/>
          <w:color w:val="006797"/>
          <w:sz w:val="22"/>
          <w:szCs w:val="22"/>
          <w:lang w:val="fr-FR" w:eastAsia="fr-FR"/>
        </w:rPr>
        <w:t>Dépenses éligibles</w:t>
      </w:r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Toutes les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dépenses d’investissements, de communication et de fonctionnement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directement liées au projet sont éligibles, à l’exclusion des dépenses de restauration, de personnel de la structure (ex : le porteur ne peut pas </w:t>
      </w:r>
      <w:r w:rsidR="00B72854"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ê</w:t>
      </w:r>
      <w:r w:rsidR="00B72854" w:rsidRPr="008620BB">
        <w:rPr>
          <w:rFonts w:ascii="Arial" w:hAnsi="Arial" w:cs="Arial"/>
          <w:color w:val="595959" w:themeColor="text1" w:themeTint="A6"/>
          <w:sz w:val="20"/>
          <w:szCs w:val="20"/>
          <w:lang w:val="fr-FR" w:eastAsia="fr-FR"/>
        </w:rPr>
        <w:t>t</w:t>
      </w:r>
      <w:r w:rsidR="00B72854"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re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rémunéré) et des frais de gestion inh</w:t>
      </w:r>
      <w:r w:rsidRPr="002F36EB">
        <w:rPr>
          <w:rFonts w:ascii="Century Gothic" w:hAnsi="Century Gothic" w:cs="Century Gothic"/>
          <w:color w:val="595959" w:themeColor="text1" w:themeTint="A6"/>
          <w:sz w:val="20"/>
          <w:szCs w:val="20"/>
          <w:lang w:val="fr-FR" w:eastAsia="fr-FR"/>
        </w:rPr>
        <w:t>é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rents à la structure du porteur de projet (ex : loyer).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br/>
        <w:t xml:space="preserve">Chaque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dépense sera justifiée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par le biais d’une pièce comptable et d’une preuve de payement (ticket de caisse ou facture + preuve de versement,…).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br/>
        <w:t>Les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 xml:space="preserve"> dépenses éligibles doivent avoir lieu dans les 12 mois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qui suivent la notification officielle de l’octroi du subside.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ab/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br/>
        <w:t>Attention : il est demandé de bien budgétiser sur les besoins réels car les demandes sont nombreuses.</w:t>
      </w:r>
    </w:p>
    <w:p w:rsid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</w:p>
    <w:p w:rsidR="002F36EB" w:rsidRPr="002F36EB" w:rsidRDefault="007147F1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hyperlink r:id="rId11" w:history="1">
        <w:r w:rsidR="002F36EB" w:rsidRPr="002F36EB">
          <w:rPr>
            <w:rFonts w:ascii="Century Gothic" w:hAnsi="Century Gothic"/>
            <w:b/>
            <w:bCs/>
            <w:color w:val="006797"/>
            <w:sz w:val="22"/>
            <w:szCs w:val="22"/>
            <w:lang w:val="fr-FR" w:eastAsia="fr-FR"/>
          </w:rPr>
          <w:t>Sollicitation du subside par une association – Procédure :</w:t>
        </w:r>
      </w:hyperlink>
    </w:p>
    <w:p w:rsidR="002F36EB" w:rsidRPr="008620B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Les demandes de de subside peuvent être introduites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tout au long de l’année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par l’envoi d'un dossier de candidature complété, au service du Développement Durable de l'administration de préférence via e-mail à 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durable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@woluwe1150.be, ou sinon, par courrier postal à :</w:t>
      </w:r>
    </w:p>
    <w:p w:rsidR="002F36EB" w:rsidRPr="008620BB" w:rsidRDefault="002F36EB" w:rsidP="002F36EB">
      <w:pPr>
        <w:ind w:left="708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Administration communale de Woluwe-Saint-Pierre</w:t>
      </w:r>
    </w:p>
    <w:p w:rsidR="002F36EB" w:rsidRPr="008620BB" w:rsidRDefault="002F36EB" w:rsidP="002F36EB">
      <w:pPr>
        <w:ind w:left="708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Service Développement durable</w:t>
      </w:r>
    </w:p>
    <w:p w:rsidR="002F36EB" w:rsidRPr="008620BB" w:rsidRDefault="002F36EB" w:rsidP="002F36EB">
      <w:pPr>
        <w:ind w:left="708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Av. Charles Thielemans, 93</w:t>
      </w:r>
    </w:p>
    <w:p w:rsidR="002F36EB" w:rsidRPr="008620BB" w:rsidRDefault="002F36EB" w:rsidP="002F36EB">
      <w:pPr>
        <w:ind w:left="708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8620B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1150 Bruxelles</w:t>
      </w:r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Chaque association porteuse peut soumettre plusieurs projets.</w:t>
      </w:r>
    </w:p>
    <w:p w:rsidR="002F36EB" w:rsidRPr="008620B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NB : pour tout projet impliquant une intervention temporaire ou durable sur l’espace public, il y aura lieu, en complément, de demander une autorisation communale pour l’occupation des lieux.</w:t>
      </w:r>
    </w:p>
    <w:p w:rsidR="002F36EB" w:rsidRPr="008620B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</w:p>
    <w:p w:rsid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</w:p>
    <w:p w:rsidR="00D5738F" w:rsidRPr="002F36EB" w:rsidRDefault="00D5738F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</w:p>
    <w:p w:rsidR="002F36EB" w:rsidRPr="002F36EB" w:rsidRDefault="007147F1" w:rsidP="002F36EB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  <w:lang w:val="fr-FR" w:eastAsia="fr-FR"/>
        </w:rPr>
      </w:pPr>
      <w:hyperlink r:id="rId12" w:history="1">
        <w:r w:rsidR="002F36EB" w:rsidRPr="002F36EB">
          <w:rPr>
            <w:rFonts w:ascii="Century Gothic" w:hAnsi="Century Gothic"/>
            <w:b/>
            <w:bCs/>
            <w:color w:val="006797"/>
            <w:sz w:val="22"/>
            <w:szCs w:val="22"/>
            <w:lang w:val="fr-FR" w:eastAsia="fr-FR"/>
          </w:rPr>
          <w:t>Octroi du subside – Procédure administrative :</w:t>
        </w:r>
      </w:hyperlink>
    </w:p>
    <w:p w:rsidR="002F36EB" w:rsidRPr="002F36EB" w:rsidRDefault="002F36EB" w:rsidP="002F36EB">
      <w:pPr>
        <w:spacing w:before="100" w:beforeAutospacing="1" w:after="100" w:afterAutospacing="1"/>
        <w:jc w:val="both"/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</w:pP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Après traitement de la demande par le service Développement Durable, et si le dossier est valide, votre demande sera analysée par l</w:t>
      </w:r>
      <w:r w:rsidR="00A903E4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a cellule Développement Durable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. Vous recevrez ensuite une réponse justifiée positive ou négative à votre demande, en fonction de son adéquation par rapport aux objectifs présentés ci-dessus.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br/>
        <w:t xml:space="preserve">Ces subsides ne seront cependant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accordés que dans la limite des crédits budgétaires disponibles et sous réserve de l’approbation du Conseil Communal.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br/>
        <w:t xml:space="preserve">En cas de sélection de votre projet, le montant subsidié sera versé à posteriori au compte de l’association porteuse en échange d’un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dossier justificatif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 qu</w:t>
      </w:r>
      <w:r w:rsidR="00D5738F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>i est à transmettre au service Développement D</w:t>
      </w:r>
      <w:r w:rsidRPr="002F36EB">
        <w:rPr>
          <w:rFonts w:ascii="Century Gothic" w:hAnsi="Century Gothic"/>
          <w:color w:val="595959" w:themeColor="text1" w:themeTint="A6"/>
          <w:sz w:val="20"/>
          <w:szCs w:val="20"/>
          <w:lang w:val="fr-FR" w:eastAsia="fr-FR"/>
        </w:rPr>
        <w:t xml:space="preserve">urable de l’administration communale de Woluwe-Saint-Pierre, </w:t>
      </w:r>
      <w:r w:rsidRPr="008620BB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fr-FR" w:eastAsia="fr-FR"/>
        </w:rPr>
        <w:t>au plus tard 13 mois après la notification de l’octroi du subside.</w:t>
      </w:r>
    </w:p>
    <w:p w:rsidR="00D2649F" w:rsidRPr="00EF23D6" w:rsidRDefault="00D2649F" w:rsidP="00D2649F">
      <w:pPr>
        <w:spacing w:after="120"/>
        <w:rPr>
          <w:rFonts w:ascii="Century Gothic" w:hAnsi="Century Gothic"/>
          <w:b/>
          <w:color w:val="4BACC6" w:themeColor="accent5"/>
          <w:sz w:val="28"/>
          <w:szCs w:val="28"/>
        </w:rPr>
      </w:pPr>
    </w:p>
    <w:sectPr w:rsidR="00D2649F" w:rsidRPr="00EF23D6" w:rsidSect="005B2E57">
      <w:headerReference w:type="default" r:id="rId13"/>
      <w:footerReference w:type="default" r:id="rId14"/>
      <w:pgSz w:w="11906" w:h="16838"/>
      <w:pgMar w:top="1134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AC" w:rsidRDefault="008C3CAC">
      <w:r>
        <w:separator/>
      </w:r>
    </w:p>
  </w:endnote>
  <w:endnote w:type="continuationSeparator" w:id="0">
    <w:p w:rsidR="008C3CAC" w:rsidRDefault="008C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555509"/>
      <w:docPartObj>
        <w:docPartGallery w:val="Page Numbers (Bottom of Page)"/>
        <w:docPartUnique/>
      </w:docPartObj>
    </w:sdtPr>
    <w:sdtEndPr/>
    <w:sdtContent>
      <w:p w:rsidR="008C3CAC" w:rsidRDefault="008C3C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7F1" w:rsidRPr="007147F1">
          <w:rPr>
            <w:noProof/>
            <w:lang w:val="fr-FR"/>
          </w:rPr>
          <w:t>2</w:t>
        </w:r>
        <w:r>
          <w:fldChar w:fldCharType="end"/>
        </w:r>
      </w:p>
    </w:sdtContent>
  </w:sdt>
  <w:p w:rsidR="008C3CAC" w:rsidRDefault="008C3C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AC" w:rsidRDefault="008C3CAC">
      <w:r>
        <w:separator/>
      </w:r>
    </w:p>
  </w:footnote>
  <w:footnote w:type="continuationSeparator" w:id="0">
    <w:p w:rsidR="008C3CAC" w:rsidRDefault="008C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AC" w:rsidRDefault="007866F4">
    <w:pPr>
      <w:pStyle w:val="En-tte"/>
      <w:rPr>
        <w:rFonts w:ascii="Palatino" w:hAnsi="Palatino"/>
        <w:b/>
      </w:rPr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4891D0F0" wp14:editId="1D0962C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845820" cy="476250"/>
          <wp:effectExtent l="0" t="0" r="0" b="0"/>
          <wp:wrapThrough wrapText="bothSides">
            <wp:wrapPolygon edited="0">
              <wp:start x="0" y="0"/>
              <wp:lineTo x="0" y="20736"/>
              <wp:lineTo x="20919" y="20736"/>
              <wp:lineTo x="2091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 armoirie_normale fr_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CAC">
      <w:rPr>
        <w:rFonts w:ascii="Palatino" w:hAnsi="Palatino"/>
        <w:b/>
      </w:rPr>
      <w:tab/>
    </w:r>
  </w:p>
  <w:p w:rsidR="007866F4" w:rsidRDefault="007866F4">
    <w:pPr>
      <w:pStyle w:val="En-tte"/>
    </w:pPr>
  </w:p>
  <w:p w:rsidR="008C3CAC" w:rsidRDefault="008C3CAC">
    <w:pPr>
      <w:pStyle w:val="En-tte"/>
    </w:pPr>
  </w:p>
  <w:p w:rsidR="00A903E4" w:rsidRPr="00A903E4" w:rsidRDefault="00A903E4">
    <w:pPr>
      <w:pStyle w:val="En-tt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12C"/>
    <w:multiLevelType w:val="multilevel"/>
    <w:tmpl w:val="D83C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A4C"/>
    <w:multiLevelType w:val="hybridMultilevel"/>
    <w:tmpl w:val="A5C85BE4"/>
    <w:lvl w:ilvl="0" w:tplc="36E0811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3FB6E2B"/>
    <w:multiLevelType w:val="multilevel"/>
    <w:tmpl w:val="5C8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57D7D"/>
    <w:multiLevelType w:val="hybridMultilevel"/>
    <w:tmpl w:val="663453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45A58"/>
    <w:multiLevelType w:val="hybridMultilevel"/>
    <w:tmpl w:val="3A262A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078"/>
    <w:multiLevelType w:val="hybridMultilevel"/>
    <w:tmpl w:val="497CA5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E38"/>
    <w:multiLevelType w:val="hybridMultilevel"/>
    <w:tmpl w:val="13F86890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229E"/>
    <w:multiLevelType w:val="hybridMultilevel"/>
    <w:tmpl w:val="7A162662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31A2F"/>
    <w:multiLevelType w:val="hybridMultilevel"/>
    <w:tmpl w:val="7B247188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9E6203"/>
    <w:multiLevelType w:val="multilevel"/>
    <w:tmpl w:val="8C04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E75D3"/>
    <w:multiLevelType w:val="hybridMultilevel"/>
    <w:tmpl w:val="F942FF6E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5BB8"/>
    <w:multiLevelType w:val="hybridMultilevel"/>
    <w:tmpl w:val="C82E48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4CB5"/>
    <w:multiLevelType w:val="multilevel"/>
    <w:tmpl w:val="E2F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E32A4"/>
    <w:multiLevelType w:val="hybridMultilevel"/>
    <w:tmpl w:val="F3A23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40B3B"/>
    <w:multiLevelType w:val="hybridMultilevel"/>
    <w:tmpl w:val="E3EC6F9A"/>
    <w:lvl w:ilvl="0" w:tplc="6AF0E5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95657"/>
    <w:multiLevelType w:val="hybridMultilevel"/>
    <w:tmpl w:val="052485AE"/>
    <w:lvl w:ilvl="0" w:tplc="659A27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CA05C1"/>
    <w:multiLevelType w:val="hybridMultilevel"/>
    <w:tmpl w:val="8DC0A318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6B117D"/>
    <w:multiLevelType w:val="hybridMultilevel"/>
    <w:tmpl w:val="550AF8C4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C27A6C"/>
    <w:multiLevelType w:val="multilevel"/>
    <w:tmpl w:val="9FD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23E73"/>
    <w:multiLevelType w:val="hybridMultilevel"/>
    <w:tmpl w:val="E98AF3C8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6A2813"/>
    <w:multiLevelType w:val="hybridMultilevel"/>
    <w:tmpl w:val="4B72DC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E26DF"/>
    <w:multiLevelType w:val="hybridMultilevel"/>
    <w:tmpl w:val="C8248F7E"/>
    <w:lvl w:ilvl="0" w:tplc="EC7E21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724EEB"/>
    <w:multiLevelType w:val="hybridMultilevel"/>
    <w:tmpl w:val="5DD2A8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EA0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14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3"/>
  </w:num>
  <w:num w:numId="11">
    <w:abstractNumId w:val="21"/>
  </w:num>
  <w:num w:numId="12">
    <w:abstractNumId w:val="17"/>
  </w:num>
  <w:num w:numId="13">
    <w:abstractNumId w:val="8"/>
  </w:num>
  <w:num w:numId="14">
    <w:abstractNumId w:val="20"/>
  </w:num>
  <w:num w:numId="15">
    <w:abstractNumId w:val="2"/>
  </w:num>
  <w:num w:numId="16">
    <w:abstractNumId w:val="5"/>
  </w:num>
  <w:num w:numId="17">
    <w:abstractNumId w:val="19"/>
  </w:num>
  <w:num w:numId="18">
    <w:abstractNumId w:val="22"/>
  </w:num>
  <w:num w:numId="19">
    <w:abstractNumId w:val="1"/>
  </w:num>
  <w:num w:numId="20">
    <w:abstractNumId w:val="0"/>
  </w:num>
  <w:num w:numId="21">
    <w:abstractNumId w:val="12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90"/>
    <w:rsid w:val="00023F88"/>
    <w:rsid w:val="00026ADB"/>
    <w:rsid w:val="000407A7"/>
    <w:rsid w:val="000429DB"/>
    <w:rsid w:val="00051108"/>
    <w:rsid w:val="00054FB4"/>
    <w:rsid w:val="00061EC8"/>
    <w:rsid w:val="0006751A"/>
    <w:rsid w:val="00077E8E"/>
    <w:rsid w:val="00081180"/>
    <w:rsid w:val="00097D55"/>
    <w:rsid w:val="000C47CF"/>
    <w:rsid w:val="000D488F"/>
    <w:rsid w:val="000F0EF7"/>
    <w:rsid w:val="000F1A4B"/>
    <w:rsid w:val="000F7354"/>
    <w:rsid w:val="00102834"/>
    <w:rsid w:val="00124DE5"/>
    <w:rsid w:val="001463A9"/>
    <w:rsid w:val="001569ED"/>
    <w:rsid w:val="00166FF2"/>
    <w:rsid w:val="001670D6"/>
    <w:rsid w:val="001710D3"/>
    <w:rsid w:val="00173586"/>
    <w:rsid w:val="001A3587"/>
    <w:rsid w:val="001C0FD9"/>
    <w:rsid w:val="001F28C4"/>
    <w:rsid w:val="002123B0"/>
    <w:rsid w:val="00212BD0"/>
    <w:rsid w:val="0023183E"/>
    <w:rsid w:val="002351E3"/>
    <w:rsid w:val="00252045"/>
    <w:rsid w:val="00270E5B"/>
    <w:rsid w:val="002818F7"/>
    <w:rsid w:val="002C1DFC"/>
    <w:rsid w:val="002D0455"/>
    <w:rsid w:val="002D535F"/>
    <w:rsid w:val="002F36EB"/>
    <w:rsid w:val="00305FEE"/>
    <w:rsid w:val="00332CBF"/>
    <w:rsid w:val="00363919"/>
    <w:rsid w:val="00367090"/>
    <w:rsid w:val="003801F0"/>
    <w:rsid w:val="003A0555"/>
    <w:rsid w:val="003C0C46"/>
    <w:rsid w:val="003C539D"/>
    <w:rsid w:val="00404EEF"/>
    <w:rsid w:val="004164EE"/>
    <w:rsid w:val="00417644"/>
    <w:rsid w:val="00433EE1"/>
    <w:rsid w:val="0044661B"/>
    <w:rsid w:val="00455979"/>
    <w:rsid w:val="0046157D"/>
    <w:rsid w:val="00481A91"/>
    <w:rsid w:val="0049371F"/>
    <w:rsid w:val="004E3832"/>
    <w:rsid w:val="004E69DC"/>
    <w:rsid w:val="004E715F"/>
    <w:rsid w:val="004F00EC"/>
    <w:rsid w:val="004F5062"/>
    <w:rsid w:val="00503BFD"/>
    <w:rsid w:val="00507933"/>
    <w:rsid w:val="00512924"/>
    <w:rsid w:val="0054656A"/>
    <w:rsid w:val="00550545"/>
    <w:rsid w:val="005656FC"/>
    <w:rsid w:val="00594C0F"/>
    <w:rsid w:val="00595335"/>
    <w:rsid w:val="005954F0"/>
    <w:rsid w:val="005B145E"/>
    <w:rsid w:val="005B2E57"/>
    <w:rsid w:val="005D2CE3"/>
    <w:rsid w:val="005E586B"/>
    <w:rsid w:val="0060395F"/>
    <w:rsid w:val="00612E32"/>
    <w:rsid w:val="00612F7A"/>
    <w:rsid w:val="00614FC5"/>
    <w:rsid w:val="00622A8A"/>
    <w:rsid w:val="00635888"/>
    <w:rsid w:val="0065141A"/>
    <w:rsid w:val="0067654E"/>
    <w:rsid w:val="00676DE0"/>
    <w:rsid w:val="00692572"/>
    <w:rsid w:val="006C5779"/>
    <w:rsid w:val="006D34B1"/>
    <w:rsid w:val="006D7677"/>
    <w:rsid w:val="0071040D"/>
    <w:rsid w:val="007147F1"/>
    <w:rsid w:val="00714B5C"/>
    <w:rsid w:val="00721675"/>
    <w:rsid w:val="0072378F"/>
    <w:rsid w:val="00735A8D"/>
    <w:rsid w:val="00737ED3"/>
    <w:rsid w:val="00741518"/>
    <w:rsid w:val="00747051"/>
    <w:rsid w:val="007572CE"/>
    <w:rsid w:val="00764E09"/>
    <w:rsid w:val="00770C1C"/>
    <w:rsid w:val="00780AB6"/>
    <w:rsid w:val="007866F4"/>
    <w:rsid w:val="00786B76"/>
    <w:rsid w:val="007A1F1C"/>
    <w:rsid w:val="007E18C8"/>
    <w:rsid w:val="007E23D4"/>
    <w:rsid w:val="007F4557"/>
    <w:rsid w:val="008017CA"/>
    <w:rsid w:val="00803B5C"/>
    <w:rsid w:val="008140C0"/>
    <w:rsid w:val="00825E6A"/>
    <w:rsid w:val="00850835"/>
    <w:rsid w:val="008620BB"/>
    <w:rsid w:val="00862DEB"/>
    <w:rsid w:val="00863128"/>
    <w:rsid w:val="008C3CAC"/>
    <w:rsid w:val="008D03BD"/>
    <w:rsid w:val="008D7303"/>
    <w:rsid w:val="008E08AF"/>
    <w:rsid w:val="009463F4"/>
    <w:rsid w:val="00950C6C"/>
    <w:rsid w:val="00960A5E"/>
    <w:rsid w:val="0097263B"/>
    <w:rsid w:val="00973E74"/>
    <w:rsid w:val="00991074"/>
    <w:rsid w:val="00994FFB"/>
    <w:rsid w:val="009F5EE0"/>
    <w:rsid w:val="00A05C6B"/>
    <w:rsid w:val="00A07ECB"/>
    <w:rsid w:val="00A246BA"/>
    <w:rsid w:val="00A27BA9"/>
    <w:rsid w:val="00A27C31"/>
    <w:rsid w:val="00A337A6"/>
    <w:rsid w:val="00A34D68"/>
    <w:rsid w:val="00A527BA"/>
    <w:rsid w:val="00A903E4"/>
    <w:rsid w:val="00A9099E"/>
    <w:rsid w:val="00AA5AF9"/>
    <w:rsid w:val="00AC3C62"/>
    <w:rsid w:val="00AC460A"/>
    <w:rsid w:val="00AC6826"/>
    <w:rsid w:val="00AF1A03"/>
    <w:rsid w:val="00AF64C2"/>
    <w:rsid w:val="00AF7664"/>
    <w:rsid w:val="00B00092"/>
    <w:rsid w:val="00B36332"/>
    <w:rsid w:val="00B41A4D"/>
    <w:rsid w:val="00B72854"/>
    <w:rsid w:val="00B734A9"/>
    <w:rsid w:val="00BD5C80"/>
    <w:rsid w:val="00BD68CB"/>
    <w:rsid w:val="00C01E63"/>
    <w:rsid w:val="00C039C4"/>
    <w:rsid w:val="00C2514D"/>
    <w:rsid w:val="00C25D07"/>
    <w:rsid w:val="00C4558E"/>
    <w:rsid w:val="00C47A1C"/>
    <w:rsid w:val="00C95927"/>
    <w:rsid w:val="00CC55F4"/>
    <w:rsid w:val="00CD0E16"/>
    <w:rsid w:val="00CD6A9A"/>
    <w:rsid w:val="00CD73EF"/>
    <w:rsid w:val="00CF4AD2"/>
    <w:rsid w:val="00D139F5"/>
    <w:rsid w:val="00D14D87"/>
    <w:rsid w:val="00D16945"/>
    <w:rsid w:val="00D2649F"/>
    <w:rsid w:val="00D40E2B"/>
    <w:rsid w:val="00D50F16"/>
    <w:rsid w:val="00D5738F"/>
    <w:rsid w:val="00D738CB"/>
    <w:rsid w:val="00DB58AE"/>
    <w:rsid w:val="00DC3CFB"/>
    <w:rsid w:val="00DC6958"/>
    <w:rsid w:val="00DD715E"/>
    <w:rsid w:val="00DE4EBC"/>
    <w:rsid w:val="00DF2FAA"/>
    <w:rsid w:val="00E0221E"/>
    <w:rsid w:val="00E06788"/>
    <w:rsid w:val="00E1319F"/>
    <w:rsid w:val="00E239AD"/>
    <w:rsid w:val="00E333E4"/>
    <w:rsid w:val="00E3533D"/>
    <w:rsid w:val="00E36316"/>
    <w:rsid w:val="00E45AED"/>
    <w:rsid w:val="00E82228"/>
    <w:rsid w:val="00E87F01"/>
    <w:rsid w:val="00E91AD4"/>
    <w:rsid w:val="00EA7E9E"/>
    <w:rsid w:val="00EC0D49"/>
    <w:rsid w:val="00EC12CE"/>
    <w:rsid w:val="00EC21B6"/>
    <w:rsid w:val="00EC4A21"/>
    <w:rsid w:val="00ED0098"/>
    <w:rsid w:val="00EF06F7"/>
    <w:rsid w:val="00EF23D6"/>
    <w:rsid w:val="00EF38FA"/>
    <w:rsid w:val="00F04BC3"/>
    <w:rsid w:val="00F4125D"/>
    <w:rsid w:val="00F47B93"/>
    <w:rsid w:val="00F47F47"/>
    <w:rsid w:val="00F90061"/>
    <w:rsid w:val="00FA7FBD"/>
    <w:rsid w:val="00FB0D91"/>
    <w:rsid w:val="00FB3BF7"/>
    <w:rsid w:val="00FC4985"/>
    <w:rsid w:val="00FD1644"/>
    <w:rsid w:val="00FE708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8C14E71D-31DF-4743-A4DB-8522C89B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C4A2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C4A21"/>
    <w:pPr>
      <w:keepNext/>
      <w:keepLines/>
      <w:spacing w:before="120" w:after="12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qFormat/>
    <w:rsid w:val="00E45AED"/>
    <w:pPr>
      <w:keepNext/>
      <w:spacing w:before="360"/>
      <w:outlineLvl w:val="2"/>
    </w:pPr>
    <w:rPr>
      <w:rFonts w:ascii="Century Gothic" w:hAnsi="Century Gothic"/>
      <w:b/>
      <w:bCs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rsid w:val="00E45AED"/>
    <w:rPr>
      <w:rFonts w:ascii="Century Gothic" w:eastAsia="Times New Roman" w:hAnsi="Century Gothic" w:cs="Times New Roman"/>
      <w:b/>
      <w:bCs/>
      <w:szCs w:val="26"/>
    </w:rPr>
  </w:style>
  <w:style w:type="paragraph" w:styleId="En-tte">
    <w:name w:val="header"/>
    <w:basedOn w:val="Normal"/>
    <w:link w:val="En-tt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367090"/>
  </w:style>
  <w:style w:type="character" w:styleId="Marquedecommentaire">
    <w:name w:val="annotation reference"/>
    <w:uiPriority w:val="99"/>
    <w:semiHidden/>
    <w:unhideWhenUsed/>
    <w:rsid w:val="00367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70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7090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0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090"/>
    <w:rPr>
      <w:rFonts w:ascii="Tahoma" w:eastAsia="Times New Roman" w:hAnsi="Tahoma" w:cs="Tahoma"/>
      <w:sz w:val="16"/>
      <w:szCs w:val="16"/>
    </w:rPr>
  </w:style>
  <w:style w:type="paragraph" w:customStyle="1" w:styleId="Pointills">
    <w:name w:val="Pointillés"/>
    <w:basedOn w:val="Normal"/>
    <w:link w:val="PointillsCar"/>
    <w:qFormat/>
    <w:rsid w:val="00E45AED"/>
    <w:pPr>
      <w:spacing w:before="120"/>
    </w:pPr>
    <w:rPr>
      <w:rFonts w:ascii="Century Gothic" w:hAnsi="Century Gothic"/>
      <w:sz w:val="22"/>
      <w:szCs w:val="22"/>
    </w:rPr>
  </w:style>
  <w:style w:type="paragraph" w:customStyle="1" w:styleId="AnnotationsTitre3">
    <w:name w:val="Annotations Titre 3"/>
    <w:basedOn w:val="Titre3"/>
    <w:link w:val="AnnotationsTitre3Car"/>
    <w:qFormat/>
    <w:rsid w:val="00212BD0"/>
    <w:pPr>
      <w:spacing w:before="0"/>
    </w:pPr>
    <w:rPr>
      <w:rFonts w:cs="ArialMT"/>
      <w:b w:val="0"/>
      <w:bCs w:val="0"/>
      <w:i/>
      <w:color w:val="000000"/>
      <w:sz w:val="18"/>
      <w:szCs w:val="18"/>
    </w:rPr>
  </w:style>
  <w:style w:type="character" w:customStyle="1" w:styleId="PointillsCar">
    <w:name w:val="Pointillés Car"/>
    <w:basedOn w:val="Policepardfaut"/>
    <w:link w:val="Pointills"/>
    <w:rsid w:val="00E45AED"/>
    <w:rPr>
      <w:rFonts w:ascii="Century Gothic" w:eastAsia="Times New Roman" w:hAnsi="Century Gothic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A03"/>
    <w:rPr>
      <w:b/>
      <w:bCs/>
    </w:rPr>
  </w:style>
  <w:style w:type="character" w:customStyle="1" w:styleId="AnnotationsTitre3Car">
    <w:name w:val="Annotations Titre 3 Car"/>
    <w:basedOn w:val="Titre3Car"/>
    <w:link w:val="AnnotationsTitre3"/>
    <w:rsid w:val="00212BD0"/>
    <w:rPr>
      <w:rFonts w:ascii="Century Gothic" w:eastAsia="Times New Roman" w:hAnsi="Century Gothic" w:cs="ArialMT"/>
      <w:b w:val="0"/>
      <w:bCs w:val="0"/>
      <w:i/>
      <w:color w:val="000000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A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40E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40E2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937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5FEE"/>
    <w:pPr>
      <w:spacing w:before="100" w:beforeAutospacing="1" w:after="100" w:afterAutospacing="1"/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9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91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919"/>
    <w:rPr>
      <w:vertAlign w:val="superscript"/>
    </w:rPr>
  </w:style>
  <w:style w:type="table" w:styleId="Grilledutableau">
    <w:name w:val="Table Grid"/>
    <w:basedOn w:val="TableauNormal"/>
    <w:uiPriority w:val="59"/>
    <w:rsid w:val="000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?page_id=376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genda-21-woluwe-sp.lademo.be/?page_id=3773&amp;preview=tru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enda-21-woluwe-sp.lademo.be/?page_id=3769&amp;preview=tru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/?page_id=3781" TargetMode="External"/><Relationship Id="rId4" Type="http://schemas.openxmlformats.org/officeDocument/2006/relationships/settings" Target="settings.xml"/><Relationship Id="rId9" Type="http://schemas.openxmlformats.org/officeDocument/2006/relationships/hyperlink" Target="/?page_id=376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FF2F-BCBA-4F4C-A9A7-10CEAE67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@domainou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</dc:creator>
  <cp:lastModifiedBy>Juliette Toche</cp:lastModifiedBy>
  <cp:revision>10</cp:revision>
  <cp:lastPrinted>2020-11-03T13:59:00Z</cp:lastPrinted>
  <dcterms:created xsi:type="dcterms:W3CDTF">2020-11-03T14:56:00Z</dcterms:created>
  <dcterms:modified xsi:type="dcterms:W3CDTF">2022-09-22T14:05:00Z</dcterms:modified>
</cp:coreProperties>
</file>